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val="en-US" w:eastAsia="zh-CN"/>
        </w:rPr>
        <w:t>2020级</w:t>
      </w:r>
      <w:r>
        <w:rPr>
          <w:rFonts w:hint="eastAsia"/>
          <w:sz w:val="44"/>
          <w:szCs w:val="44"/>
        </w:rPr>
        <w:t>新生保留入学资格的</w:t>
      </w:r>
      <w:r>
        <w:rPr>
          <w:rFonts w:hint="eastAsia"/>
          <w:sz w:val="44"/>
          <w:szCs w:val="44"/>
          <w:lang w:val="en-US" w:eastAsia="zh-CN"/>
        </w:rPr>
        <w:t>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right="0"/>
        <w:jc w:val="left"/>
        <w:rPr>
          <w:color w:val="333333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right="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2020级新生：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right="0"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2020年9月17-18日为我院2020级新生报到时间，如果新生因为一些原因比如伤病、应征入伍或其他不可抗逆的因素，不能按时到校学习的，可以申请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instrText xml:space="preserve"> HYPERLINK "http://www.so.com/s?q=%E4%BF%9D%E7%95%99%E5%85%A5%E5%AD%A6%E8%B5%84%E6%A0%BC&amp;ie=utf-8&amp;src=internal_wenda_recommend_textn" \t "https://wenda.so.com/q/_blank" </w:instrTex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保留入学资格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新生应征入伍保留入学资格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根据教育部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总参谋部关于印发《应征入伍普通高等学校录取新生保留入学资格及退役后入学办法(试行)》的通知（教学〔2013〕8号）的要求，我校对2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020级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应征入伍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的新生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申请办理保留入学资格的相关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要求及办理流程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申请保留入学资格时间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840" w:firstLineChars="30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日-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日，新生本人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可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到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我校广州校区招生办（专科综合楼105）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办理保留入学资格手续，(因故不能到校办理，可委托其父母代为办理)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或者致电招生办询问保留入学资格流程并邮寄办理（具体邮寄信息见下方）。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申请保留入学资格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应交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材料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1.《应征入伍普通高等学校录取新生保留入学资格申请表》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一式两份，须武装部盖章；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2.录取通知书（复印件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3.入伍通知书（复印件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）或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征兵办（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武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出具的入伍证明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4.学生本人身份证（复印件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一份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审核录取资格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right="0"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学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对入伍新生递交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申请保留入学资格的材料进行录取资格审核，合格者给予办理保留入学资格手续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回寄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《应征入伍普通高等学校录取新生保留入学资格申请表》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给该生所属的当地征兵办，并在学院招生办网站公示。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right="0" w:firstLine="562" w:firstLineChars="20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因其他特殊情况保留学籍</w:t>
      </w:r>
    </w:p>
    <w:p>
      <w:pPr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因其他特殊原因（如身体原因）导致无法入学，需申请保留学籍的新生，下载填写《保留入学资格申请表》，于2020年9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至10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日，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由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新生本人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或者其父母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到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招生办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办理保留入学资格手续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，完成上述相关流程及手续。</w:t>
      </w:r>
    </w:p>
    <w:p>
      <w:pPr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联系电话：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020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82906888，32801002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联系人：何老师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90" w:afterAutospacing="0" w:line="21" w:lineRule="atLeast"/>
        <w:ind w:left="0" w:right="0" w:firstLine="42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地址：广州市增城区广州华立科技职业学院招生办105室。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tbl>
      <w:tblPr>
        <w:tblW w:w="10545" w:type="dxa"/>
        <w:tblInd w:w="-669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518"/>
        <w:gridCol w:w="991"/>
        <w:gridCol w:w="1189"/>
        <w:gridCol w:w="1098"/>
        <w:gridCol w:w="679"/>
        <w:gridCol w:w="2119"/>
        <w:gridCol w:w="881"/>
        <w:gridCol w:w="21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广州华立科技职业学院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20  -20  学年第  学期保留入学资格申请表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编号保入（20   ）   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所在学部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家庭联系方式</w:t>
            </w:r>
          </w:p>
        </w:tc>
        <w:tc>
          <w:tcPr>
            <w:tcW w:w="3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（父亲）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（母亲）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6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申请保留学籍时间</w:t>
            </w:r>
          </w:p>
        </w:tc>
        <w:tc>
          <w:tcPr>
            <w:tcW w:w="90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 xml:space="preserve">   从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月申请保留入学资格，</w:t>
            </w:r>
            <w:r>
              <w:rPr>
                <w:rStyle w:val="23"/>
                <w:bdr w:val="none" w:color="auto" w:sz="0" w:space="0"/>
                <w:lang w:val="en-US" w:eastAsia="zh-CN" w:bidi="ar"/>
              </w:rPr>
              <w:t>应征入伍的保留入学资格至其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退役后二年。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拟复学时间</w:t>
            </w:r>
          </w:p>
        </w:tc>
        <w:tc>
          <w:tcPr>
            <w:tcW w:w="90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申请保留     入学资格理由</w:t>
            </w:r>
          </w:p>
        </w:tc>
        <w:tc>
          <w:tcPr>
            <w:tcW w:w="958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（详细说明个人保留入学资格的原因及具体情况，并附个人申请书）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家长签名：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招生办</w:t>
            </w: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教学副院长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院长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bdr w:val="none" w:color="auto" w:sz="0" w:space="0"/>
                <w:lang w:val="en-US" w:eastAsia="zh-CN" w:bidi="ar"/>
              </w:rPr>
              <w:t>登记备案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学籍科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4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6"/>
                <w:bdr w:val="none" w:color="auto" w:sz="0" w:space="0"/>
                <w:lang w:val="en-US" w:eastAsia="zh-CN" w:bidi="ar"/>
              </w:rPr>
              <w:t>备注：保留入学资格须提供有关文件证明，因病保留入学资格须提供县级以上医院证明。</w:t>
            </w:r>
            <w:r>
              <w:rPr>
                <w:rStyle w:val="27"/>
                <w:bdr w:val="none" w:color="auto" w:sz="0" w:space="0"/>
                <w:lang w:val="en-US" w:eastAsia="zh-CN" w:bidi="ar"/>
              </w:rPr>
              <w:t>因应征入伍保留入学资格的可填写教育部规定的《应征入伍普通高等学校录取新生保留入学资格申请表》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广州华立科技职业学院教务处 制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57CB"/>
    <w:rsid w:val="0A282303"/>
    <w:rsid w:val="181F1097"/>
    <w:rsid w:val="4E682C94"/>
    <w:rsid w:val="6E914407"/>
    <w:rsid w:val="70793EB4"/>
    <w:rsid w:val="7BA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color w:val="333333"/>
      <w:kern w:val="0"/>
      <w:sz w:val="18"/>
      <w:szCs w:val="18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333333"/>
      <w:u w:val="non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8">
    <w:name w:val="news_title"/>
    <w:basedOn w:val="5"/>
    <w:uiPriority w:val="0"/>
  </w:style>
  <w:style w:type="character" w:customStyle="1" w:styleId="9">
    <w:name w:val="news_title1"/>
    <w:basedOn w:val="5"/>
    <w:uiPriority w:val="0"/>
  </w:style>
  <w:style w:type="character" w:customStyle="1" w:styleId="10">
    <w:name w:val="news_title2"/>
    <w:basedOn w:val="5"/>
    <w:uiPriority w:val="0"/>
  </w:style>
  <w:style w:type="character" w:customStyle="1" w:styleId="11">
    <w:name w:val="news_meta"/>
    <w:basedOn w:val="5"/>
    <w:uiPriority w:val="0"/>
  </w:style>
  <w:style w:type="character" w:customStyle="1" w:styleId="12">
    <w:name w:val="news_meta1"/>
    <w:basedOn w:val="5"/>
    <w:uiPriority w:val="0"/>
  </w:style>
  <w:style w:type="character" w:customStyle="1" w:styleId="13">
    <w:name w:val="news_meta2"/>
    <w:basedOn w:val="5"/>
    <w:uiPriority w:val="0"/>
  </w:style>
  <w:style w:type="character" w:customStyle="1" w:styleId="14">
    <w:name w:val="item-name"/>
    <w:basedOn w:val="5"/>
    <w:uiPriority w:val="0"/>
  </w:style>
  <w:style w:type="character" w:customStyle="1" w:styleId="15">
    <w:name w:val="item-name1"/>
    <w:basedOn w:val="5"/>
    <w:uiPriority w:val="0"/>
  </w:style>
  <w:style w:type="character" w:customStyle="1" w:styleId="16">
    <w:name w:val="column-name"/>
    <w:basedOn w:val="5"/>
    <w:uiPriority w:val="0"/>
    <w:rPr>
      <w:color w:val="000000"/>
    </w:rPr>
  </w:style>
  <w:style w:type="character" w:customStyle="1" w:styleId="17">
    <w:name w:val="column-name1"/>
    <w:basedOn w:val="5"/>
    <w:uiPriority w:val="0"/>
    <w:rPr>
      <w:color w:val="124D83"/>
    </w:rPr>
  </w:style>
  <w:style w:type="character" w:customStyle="1" w:styleId="18">
    <w:name w:val="column-name2"/>
    <w:basedOn w:val="5"/>
    <w:uiPriority w:val="0"/>
    <w:rPr>
      <w:color w:val="124D83"/>
    </w:rPr>
  </w:style>
  <w:style w:type="character" w:customStyle="1" w:styleId="19">
    <w:name w:val="column-name3"/>
    <w:basedOn w:val="5"/>
    <w:uiPriority w:val="0"/>
    <w:rPr>
      <w:color w:val="124D83"/>
    </w:rPr>
  </w:style>
  <w:style w:type="character" w:customStyle="1" w:styleId="20">
    <w:name w:val="column-name4"/>
    <w:basedOn w:val="5"/>
    <w:uiPriority w:val="0"/>
    <w:rPr>
      <w:color w:val="124D83"/>
    </w:rPr>
  </w:style>
  <w:style w:type="character" w:customStyle="1" w:styleId="21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9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3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8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6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7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5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zhongsili</dc:creator>
  <cp:lastModifiedBy>前途</cp:lastModifiedBy>
  <dcterms:modified xsi:type="dcterms:W3CDTF">2020-09-15T02:07:56Z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