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720" w:firstLineChars="200"/>
        <w:jc w:val="lef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广东省高等教育学会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“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十四五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”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规划2022年度</w:t>
      </w:r>
    </w:p>
    <w:p>
      <w:pPr>
        <w:spacing w:line="700" w:lineRule="exact"/>
        <w:jc w:val="center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高等教育研究课题指南</w:t>
      </w:r>
    </w:p>
    <w:p>
      <w:pPr>
        <w:spacing w:line="560" w:lineRule="exac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（一）习近平总书记关于教育的重要论述研究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（二）普及化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时代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的高等教育改革发展研究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（三）建设高质量高等教育体系整体规划与战略举措研究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（四）高等教育高质量发展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理念、机制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与行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动研究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（五）提升高等教育治理体系和治理能力现代化水平研究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（六）推动高校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优质化、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分类化、特色化发展研究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（七）新时代高等教育评价体制机制改革研究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（八）推进高校新型智库建设研究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（九）促进产学研结合、科教融合、产教融合、校企合作的政策引导研究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交叉学科建设路径研究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十一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拔尖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创新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人才培养机制研究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十二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广东“双一流”建设高校分类特色发展研究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加快推进广东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亟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需学科发展策略研究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十四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应用学科与区域经济社会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高质量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发展对接联动研究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广东“新工科”建设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策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略研究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十六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广东“新医科”建设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策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略研究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十七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广东“新农科”建设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策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略研究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十八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广东“新文科”建设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策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略研究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十九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广东“新师范”建设策略研究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高水平师范院校建设研究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二十一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高校科研组织模式创新研究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二十二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高校教学组织模式创新研究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粤东西北高校学科特色发展研究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（二十四）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高校服务区域经济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社会高质量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普及化时代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民办高等教育发展定位与价值变革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二十六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民办高校高质量发展目标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任务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和路径研究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二十七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独立学院转设后发展挑战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与策略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选择研究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（二十八）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非营利性民办高校监管体系研究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（二十九）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营利性民办高校监管制度研究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新时代民办高等教育治理体系研究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（三十一）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民办高校人才培养模式与机制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创新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（三十二）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粤港澳大湾区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高等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教育合作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发展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：民办高校的角色与功能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（三十三）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“一带一路”背景下民办高校“走出去”研究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（三十四）高等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职业教育适应性的提升策略及路径研究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（三十五）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中国特色学徒制的探索研究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（三十六）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职业本科教育的院校、专业建设研究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（三十七）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深圳先行示范区高等教育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高质量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（三十八）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新时代科教融合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产教融合、校企合作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育人模式研究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（三十九）现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代产业学院育人模式研究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新工科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新农科、新医科、新文科建设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背景下产业学院建设的政策支持体系研究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（四十一）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现代产业学院建设标准研究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（四十二）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粤港澳大湾区国际教育示范区建设研究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（四十三）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粤港澳大湾区高等教育合作发展研究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（四十四）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粤港澳大湾区产学研资源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共建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共享机制创新研究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（四十五）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高等教育服务粤港澳大湾区国际科技创新中心建设研究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（四十六）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粤港澳大湾区科教融合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产教融合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校企合作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的政策支持研究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四十七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高等学校教学创新研究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（四十八）高等学校思政课建设与课程思政改革研究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（四十九）高等学校高素质专业化创新型教师队伍建设改革研究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（五十）人工智能与高校教育教学改革研究</w:t>
      </w:r>
    </w:p>
    <w:p>
      <w:pPr>
        <w:spacing w:line="560" w:lineRule="exact"/>
        <w:ind w:firstLine="1600" w:firstLineChars="500"/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2022-03-03T05:10:59Z</dcterms:created>
  <dc:creator>934940350</dc:creator>
  <cp:lastModifiedBy>Laura 、</cp:lastModifiedBy>
  <dcterms:modified xsi:type="dcterms:W3CDTF">2022-03-03T05:11:14Z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6FF7D3A60D2C4075878C4AACC0C91BAE</vt:lpwstr>
  </property>
</Properties>
</file>